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1E" w:rsidRDefault="0021661E" w:rsidP="00085134">
      <w:pPr>
        <w:jc w:val="center"/>
        <w:rPr>
          <w:rFonts w:ascii="Garamond" w:hAnsi="Garamond"/>
          <w:b/>
          <w:smallCaps/>
          <w:sz w:val="28"/>
          <w:szCs w:val="28"/>
        </w:rPr>
      </w:pPr>
    </w:p>
    <w:p w:rsidR="0021661E" w:rsidRDefault="0021661E" w:rsidP="00085134">
      <w:pPr>
        <w:jc w:val="center"/>
        <w:rPr>
          <w:rFonts w:ascii="Garamond" w:hAnsi="Garamond"/>
          <w:b/>
          <w:smallCaps/>
          <w:sz w:val="28"/>
          <w:szCs w:val="28"/>
        </w:rPr>
      </w:pPr>
    </w:p>
    <w:p w:rsidR="00085134" w:rsidRPr="0024024F" w:rsidRDefault="00085134" w:rsidP="00085134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24024F">
        <w:rPr>
          <w:rFonts w:ascii="Garamond" w:hAnsi="Garamond"/>
          <w:b/>
          <w:smallCaps/>
          <w:sz w:val="28"/>
          <w:szCs w:val="28"/>
        </w:rPr>
        <w:t>Bibliografia</w:t>
      </w:r>
    </w:p>
    <w:p w:rsidR="00085134" w:rsidRPr="0024024F" w:rsidRDefault="00085134" w:rsidP="00085134">
      <w:pPr>
        <w:jc w:val="center"/>
        <w:rPr>
          <w:rFonts w:ascii="Garamond" w:hAnsi="Garamond"/>
          <w:b/>
          <w:smallCaps/>
          <w:sz w:val="28"/>
          <w:szCs w:val="28"/>
        </w:rPr>
      </w:pPr>
      <w:bookmarkStart w:id="0" w:name="_GoBack"/>
      <w:bookmarkEnd w:id="0"/>
    </w:p>
    <w:p w:rsidR="00085134" w:rsidRPr="0024024F" w:rsidRDefault="00085134" w:rsidP="00085134">
      <w:pPr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Oltre ai due volumi pubblicati, scrive saggi e articoli</w:t>
      </w:r>
      <w:r w:rsidRPr="0024024F">
        <w:rPr>
          <w:rFonts w:ascii="Garamond" w:hAnsi="Garamond"/>
          <w:color w:val="000000"/>
          <w:sz w:val="28"/>
          <w:szCs w:val="28"/>
        </w:rPr>
        <w:t xml:space="preserve"> per diverse testate, come il settimanale </w:t>
      </w:r>
      <w:r w:rsidRPr="0024024F">
        <w:rPr>
          <w:rFonts w:ascii="Garamond" w:hAnsi="Garamond"/>
          <w:i/>
          <w:color w:val="000000"/>
          <w:sz w:val="28"/>
          <w:szCs w:val="28"/>
        </w:rPr>
        <w:t>Avvenire Roma sette</w:t>
      </w:r>
      <w:r w:rsidRPr="0024024F">
        <w:rPr>
          <w:rFonts w:ascii="Garamond" w:hAnsi="Garamond"/>
          <w:color w:val="000000"/>
          <w:sz w:val="28"/>
          <w:szCs w:val="28"/>
        </w:rPr>
        <w:t xml:space="preserve"> della Diocesi di Roma e per il mensile </w:t>
      </w:r>
      <w:r w:rsidRPr="0024024F">
        <w:rPr>
          <w:rFonts w:ascii="Garamond" w:hAnsi="Garamond"/>
          <w:i/>
          <w:color w:val="000000"/>
          <w:sz w:val="28"/>
          <w:szCs w:val="28"/>
        </w:rPr>
        <w:t>Vita Pastorale</w:t>
      </w:r>
      <w:r w:rsidRPr="0024024F">
        <w:rPr>
          <w:rFonts w:ascii="Garamond" w:hAnsi="Garamond"/>
          <w:color w:val="000000"/>
          <w:sz w:val="28"/>
          <w:szCs w:val="28"/>
        </w:rPr>
        <w:t xml:space="preserve"> di cui è consulente di redazione.</w:t>
      </w:r>
      <w:r>
        <w:rPr>
          <w:rFonts w:ascii="Garamond" w:hAnsi="Garamond"/>
          <w:color w:val="000000"/>
          <w:sz w:val="28"/>
          <w:szCs w:val="28"/>
        </w:rPr>
        <w:t xml:space="preserve"> In seguito sono indicati solo gli articoli pubblicati su </w:t>
      </w:r>
      <w:r w:rsidRPr="009950A3">
        <w:rPr>
          <w:rFonts w:ascii="Garamond" w:hAnsi="Garamond"/>
          <w:i/>
          <w:color w:val="000000"/>
          <w:sz w:val="28"/>
          <w:szCs w:val="28"/>
        </w:rPr>
        <w:t>Vita pastorale</w:t>
      </w:r>
      <w:r>
        <w:rPr>
          <w:rFonts w:ascii="Garamond" w:hAnsi="Garamond"/>
          <w:color w:val="000000"/>
          <w:sz w:val="28"/>
          <w:szCs w:val="28"/>
        </w:rPr>
        <w:t xml:space="preserve"> perché si tratta di testi che trattano temi teologici e pastorali.</w:t>
      </w:r>
    </w:p>
    <w:p w:rsidR="00085134" w:rsidRPr="0024024F" w:rsidRDefault="00085134" w:rsidP="00085134">
      <w:pPr>
        <w:jc w:val="both"/>
        <w:rPr>
          <w:rFonts w:ascii="Garamond" w:hAnsi="Garamond"/>
          <w:sz w:val="28"/>
          <w:szCs w:val="28"/>
        </w:rPr>
      </w:pPr>
    </w:p>
    <w:p w:rsidR="00085134" w:rsidRPr="0024024F" w:rsidRDefault="00085134" w:rsidP="00085134">
      <w:pPr>
        <w:ind w:firstLine="708"/>
        <w:jc w:val="both"/>
        <w:rPr>
          <w:rFonts w:ascii="Garamond" w:hAnsi="Garamond"/>
          <w:b/>
          <w:color w:val="000000"/>
          <w:sz w:val="28"/>
          <w:szCs w:val="28"/>
        </w:rPr>
      </w:pPr>
      <w:r w:rsidRPr="0024024F">
        <w:rPr>
          <w:rFonts w:ascii="Garamond" w:hAnsi="Garamond"/>
          <w:b/>
          <w:color w:val="000000"/>
          <w:sz w:val="28"/>
          <w:szCs w:val="28"/>
        </w:rPr>
        <w:t>Libri:</w:t>
      </w:r>
    </w:p>
    <w:p w:rsidR="00085134" w:rsidRPr="0024024F" w:rsidRDefault="00085134" w:rsidP="00085134">
      <w:pPr>
        <w:ind w:firstLine="708"/>
        <w:jc w:val="both"/>
        <w:rPr>
          <w:rFonts w:ascii="Garamond" w:hAnsi="Garamond"/>
          <w:smallCaps/>
          <w:sz w:val="28"/>
          <w:szCs w:val="28"/>
        </w:rPr>
      </w:pPr>
    </w:p>
    <w:p w:rsidR="00085134" w:rsidRPr="0024024F" w:rsidRDefault="00085134" w:rsidP="00085134">
      <w:pPr>
        <w:ind w:firstLine="708"/>
        <w:jc w:val="both"/>
        <w:rPr>
          <w:rFonts w:ascii="Garamond" w:hAnsi="Garamond"/>
          <w:color w:val="000000"/>
          <w:sz w:val="28"/>
          <w:szCs w:val="28"/>
        </w:rPr>
      </w:pPr>
      <w:proofErr w:type="spellStart"/>
      <w:r w:rsidRPr="0024024F">
        <w:rPr>
          <w:rFonts w:ascii="Garamond" w:hAnsi="Garamond"/>
          <w:smallCaps/>
          <w:sz w:val="28"/>
          <w:szCs w:val="28"/>
        </w:rPr>
        <w:t>Insero</w:t>
      </w:r>
      <w:proofErr w:type="spellEnd"/>
      <w:r w:rsidRPr="0024024F">
        <w:rPr>
          <w:rFonts w:ascii="Garamond" w:hAnsi="Garamond"/>
          <w:smallCaps/>
          <w:sz w:val="28"/>
          <w:szCs w:val="28"/>
        </w:rPr>
        <w:t>,</w:t>
      </w:r>
      <w:r w:rsidRPr="0024024F">
        <w:rPr>
          <w:rFonts w:ascii="Garamond" w:hAnsi="Garamond"/>
          <w:sz w:val="28"/>
          <w:szCs w:val="28"/>
        </w:rPr>
        <w:t xml:space="preserve"> W.,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La Chiesa «è missionaria per sua natura» (AG 2). Origine e contenuto dell’affermazione conciliare e la sua recezione in alcuni insegnamenti del Magistero, nella riflessione teologico-ecclesiologica e nel vissuto ecclesiale del dopo-concilio</w:t>
      </w:r>
      <w:r w:rsidRPr="0024024F">
        <w:rPr>
          <w:rFonts w:ascii="Garamond" w:hAnsi="Garamond"/>
          <w:color w:val="000000"/>
          <w:sz w:val="28"/>
          <w:szCs w:val="28"/>
        </w:rPr>
        <w:t xml:space="preserve">, Documenta </w:t>
      </w:r>
      <w:proofErr w:type="spellStart"/>
      <w:r w:rsidRPr="0024024F">
        <w:rPr>
          <w:rFonts w:ascii="Garamond" w:hAnsi="Garamond"/>
          <w:color w:val="000000"/>
          <w:sz w:val="28"/>
          <w:szCs w:val="28"/>
        </w:rPr>
        <w:t>Missionalia</w:t>
      </w:r>
      <w:proofErr w:type="spellEnd"/>
      <w:r w:rsidRPr="0024024F">
        <w:rPr>
          <w:rFonts w:ascii="Garamond" w:hAnsi="Garamond"/>
          <w:color w:val="000000"/>
          <w:sz w:val="28"/>
          <w:szCs w:val="28"/>
        </w:rPr>
        <w:t xml:space="preserve"> 32, Roma 2007.</w:t>
      </w:r>
      <w:r w:rsidRPr="0024024F">
        <w:rPr>
          <w:rFonts w:ascii="Garamond" w:hAnsi="Garamond"/>
          <w:color w:val="000000"/>
          <w:sz w:val="28"/>
          <w:szCs w:val="28"/>
        </w:rPr>
        <w:tab/>
      </w:r>
    </w:p>
    <w:p w:rsidR="00F15494" w:rsidRDefault="00F15494" w:rsidP="00085134">
      <w:pPr>
        <w:ind w:firstLine="708"/>
        <w:jc w:val="both"/>
        <w:rPr>
          <w:rFonts w:ascii="Garamond" w:hAnsi="Garamond"/>
          <w:smallCaps/>
          <w:sz w:val="28"/>
          <w:szCs w:val="28"/>
        </w:rPr>
      </w:pPr>
    </w:p>
    <w:p w:rsidR="00085134" w:rsidRPr="0024024F" w:rsidRDefault="00085134" w:rsidP="00085134">
      <w:pPr>
        <w:ind w:firstLine="708"/>
        <w:jc w:val="both"/>
        <w:rPr>
          <w:rFonts w:ascii="Garamond" w:hAnsi="Garamond"/>
          <w:color w:val="000000"/>
          <w:sz w:val="28"/>
          <w:szCs w:val="28"/>
        </w:rPr>
      </w:pPr>
      <w:proofErr w:type="spellStart"/>
      <w:r w:rsidRPr="0024024F">
        <w:rPr>
          <w:rFonts w:ascii="Garamond" w:hAnsi="Garamond"/>
          <w:smallCaps/>
          <w:sz w:val="28"/>
          <w:szCs w:val="28"/>
        </w:rPr>
        <w:t>Insero</w:t>
      </w:r>
      <w:proofErr w:type="spellEnd"/>
      <w:r w:rsidRPr="0024024F">
        <w:rPr>
          <w:rFonts w:ascii="Garamond" w:hAnsi="Garamond"/>
          <w:smallCaps/>
          <w:sz w:val="28"/>
          <w:szCs w:val="28"/>
        </w:rPr>
        <w:t>,</w:t>
      </w:r>
      <w:r w:rsidRPr="0024024F">
        <w:rPr>
          <w:rFonts w:ascii="Garamond" w:hAnsi="Garamond"/>
          <w:sz w:val="28"/>
          <w:szCs w:val="28"/>
        </w:rPr>
        <w:t xml:space="preserve"> W., </w:t>
      </w:r>
      <w:r w:rsidRPr="0024024F">
        <w:rPr>
          <w:rFonts w:ascii="Garamond" w:hAnsi="Garamond"/>
          <w:i/>
          <w:sz w:val="28"/>
          <w:szCs w:val="28"/>
        </w:rPr>
        <w:t>Il popolo secondo Francesco. Una rilettura ecclesiologica</w:t>
      </w:r>
      <w:r w:rsidRPr="0024024F">
        <w:rPr>
          <w:rFonts w:ascii="Garamond" w:hAnsi="Garamond"/>
          <w:sz w:val="28"/>
          <w:szCs w:val="28"/>
        </w:rPr>
        <w:t xml:space="preserve">, Libreria Editrice Vaticana, Città del Vaticano 2018.  </w:t>
      </w:r>
    </w:p>
    <w:p w:rsidR="00085134" w:rsidRPr="0024024F" w:rsidRDefault="00085134" w:rsidP="00085134">
      <w:pPr>
        <w:ind w:firstLine="708"/>
        <w:jc w:val="both"/>
        <w:rPr>
          <w:rFonts w:ascii="Garamond" w:hAnsi="Garamond"/>
          <w:iCs/>
          <w:color w:val="000000"/>
          <w:sz w:val="28"/>
          <w:szCs w:val="28"/>
        </w:rPr>
      </w:pPr>
    </w:p>
    <w:p w:rsidR="00085134" w:rsidRPr="0024024F" w:rsidRDefault="00085134" w:rsidP="00085134">
      <w:pPr>
        <w:ind w:firstLine="708"/>
        <w:jc w:val="both"/>
        <w:rPr>
          <w:rFonts w:ascii="Garamond" w:hAnsi="Garamond"/>
          <w:b/>
          <w:iCs/>
          <w:color w:val="000000"/>
          <w:sz w:val="28"/>
          <w:szCs w:val="28"/>
        </w:rPr>
      </w:pPr>
      <w:r w:rsidRPr="0024024F">
        <w:rPr>
          <w:rFonts w:ascii="Garamond" w:hAnsi="Garamond"/>
          <w:b/>
          <w:iCs/>
          <w:color w:val="000000"/>
          <w:sz w:val="28"/>
          <w:szCs w:val="28"/>
        </w:rPr>
        <w:t>Saggi:</w:t>
      </w:r>
    </w:p>
    <w:p w:rsidR="00085134" w:rsidRPr="0024024F" w:rsidRDefault="00085134" w:rsidP="00085134">
      <w:pPr>
        <w:ind w:firstLine="708"/>
        <w:jc w:val="both"/>
        <w:rPr>
          <w:rFonts w:ascii="Garamond" w:hAnsi="Garamond"/>
          <w:iCs/>
          <w:color w:val="000000"/>
          <w:sz w:val="28"/>
          <w:szCs w:val="28"/>
        </w:rPr>
      </w:pP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«La Chiesa è per sua natura missionaria»,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La Chiesa che vorrei, Atti del Convegno diocesano Trebisacce (CS) 20-21 novembre 2009</w:t>
      </w:r>
      <w:r w:rsidRPr="0024024F">
        <w:rPr>
          <w:rFonts w:ascii="Garamond" w:hAnsi="Garamond"/>
          <w:iCs/>
          <w:color w:val="000000"/>
          <w:sz w:val="28"/>
          <w:szCs w:val="28"/>
        </w:rPr>
        <w:t>, Castrovillari 2009, 125-141.</w:t>
      </w:r>
    </w:p>
    <w:p w:rsidR="0021661E" w:rsidRPr="0021661E" w:rsidRDefault="0021661E" w:rsidP="00085134">
      <w:pPr>
        <w:ind w:firstLine="426"/>
        <w:jc w:val="both"/>
        <w:rPr>
          <w:rFonts w:ascii="Garamond" w:hAnsi="Garamond"/>
          <w:iCs/>
          <w:color w:val="000000"/>
          <w:sz w:val="10"/>
          <w:szCs w:val="10"/>
        </w:rPr>
      </w:pP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 w:rsidRPr="0024024F">
        <w:rPr>
          <w:rFonts w:ascii="Garamond" w:hAnsi="Garamond"/>
          <w:color w:val="000000"/>
          <w:sz w:val="28"/>
          <w:szCs w:val="28"/>
        </w:rPr>
        <w:t>Comunicare la fede nella comunità ecclesiale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La fede comunicata. Riflessioni teologico-pastorali</w:t>
      </w:r>
      <w:r w:rsidRPr="0024024F">
        <w:rPr>
          <w:rFonts w:ascii="Garamond" w:hAnsi="Garamond"/>
          <w:iCs/>
          <w:color w:val="000000"/>
          <w:sz w:val="28"/>
          <w:szCs w:val="28"/>
        </w:rPr>
        <w:t>, Collana Strumenti 17, Roma 2013, 87-96.</w:t>
      </w:r>
    </w:p>
    <w:p w:rsidR="0021661E" w:rsidRPr="0021661E" w:rsidRDefault="0021661E" w:rsidP="00085134">
      <w:pPr>
        <w:ind w:firstLine="426"/>
        <w:jc w:val="both"/>
        <w:rPr>
          <w:rFonts w:ascii="Garamond" w:hAnsi="Garamond"/>
          <w:iCs/>
          <w:color w:val="000000"/>
          <w:sz w:val="10"/>
          <w:szCs w:val="10"/>
        </w:rPr>
      </w:pPr>
    </w:p>
    <w:p w:rsidR="00085134" w:rsidRPr="00B136B0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«Il popolo di Dio nell’insegnamento di Papa Francesco»,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Orientamenti pastorali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, Dossier «Il popolo di Dio alla luce del magistero di Papa Francesco», </w:t>
      </w:r>
      <w:r w:rsidRPr="00B136B0">
        <w:rPr>
          <w:rFonts w:ascii="Garamond" w:hAnsi="Garamond"/>
          <w:iCs/>
          <w:color w:val="000000"/>
          <w:sz w:val="28"/>
          <w:szCs w:val="28"/>
        </w:rPr>
        <w:t>n. 7-8 luglio-agosto 2016, 41-51.</w:t>
      </w:r>
    </w:p>
    <w:p w:rsidR="0021661E" w:rsidRPr="0021661E" w:rsidRDefault="0021661E" w:rsidP="00085134">
      <w:pPr>
        <w:shd w:val="clear" w:color="auto" w:fill="FFFFFF"/>
        <w:ind w:firstLine="426"/>
        <w:jc w:val="both"/>
        <w:textAlignment w:val="baseline"/>
        <w:rPr>
          <w:rFonts w:ascii="Garamond" w:hAnsi="Garamond"/>
          <w:iCs/>
          <w:color w:val="000000"/>
          <w:sz w:val="10"/>
          <w:szCs w:val="10"/>
        </w:rPr>
      </w:pPr>
    </w:p>
    <w:p w:rsidR="00085134" w:rsidRPr="00B136B0" w:rsidRDefault="00085134" w:rsidP="00085134">
      <w:pPr>
        <w:shd w:val="clear" w:color="auto" w:fill="FFFFFF"/>
        <w:ind w:firstLine="426"/>
        <w:jc w:val="both"/>
        <w:textAlignment w:val="baseline"/>
        <w:rPr>
          <w:rFonts w:ascii="Garamond" w:hAnsi="Garamond"/>
          <w:iCs/>
          <w:color w:val="000000"/>
          <w:sz w:val="28"/>
          <w:szCs w:val="28"/>
        </w:rPr>
      </w:pPr>
      <w:r w:rsidRPr="00B136B0">
        <w:rPr>
          <w:rFonts w:ascii="Garamond" w:hAnsi="Garamond"/>
          <w:iCs/>
          <w:color w:val="000000"/>
          <w:sz w:val="28"/>
          <w:szCs w:val="28"/>
        </w:rPr>
        <w:t>«</w:t>
      </w:r>
      <w:r w:rsidRPr="00B136B0">
        <w:rPr>
          <w:rFonts w:ascii="Garamond" w:hAnsi="Garamond" w:cs="Segoe UI"/>
          <w:sz w:val="28"/>
          <w:szCs w:val="28"/>
        </w:rPr>
        <w:t xml:space="preserve">Alcuni criteri per il riconoscimento di un’autentica </w:t>
      </w:r>
      <w:proofErr w:type="spellStart"/>
      <w:r w:rsidRPr="00B136B0">
        <w:rPr>
          <w:rFonts w:ascii="Garamond" w:hAnsi="Garamond" w:cs="Segoe UI"/>
          <w:sz w:val="28"/>
          <w:szCs w:val="28"/>
        </w:rPr>
        <w:t>ecclesialità</w:t>
      </w:r>
      <w:proofErr w:type="spellEnd"/>
      <w:r w:rsidRPr="00B136B0">
        <w:rPr>
          <w:rFonts w:ascii="Garamond" w:hAnsi="Garamond" w:cs="Segoe UI"/>
          <w:sz w:val="28"/>
          <w:szCs w:val="28"/>
        </w:rPr>
        <w:t xml:space="preserve"> dei carismi in una Chiesa sinodale</w:t>
      </w:r>
      <w:r w:rsidRPr="00B136B0">
        <w:rPr>
          <w:rFonts w:ascii="Garamond" w:hAnsi="Garamond"/>
          <w:iCs/>
          <w:color w:val="000000"/>
          <w:sz w:val="28"/>
          <w:szCs w:val="28"/>
        </w:rPr>
        <w:t xml:space="preserve">», in </w:t>
      </w:r>
      <w:proofErr w:type="spellStart"/>
      <w:r w:rsidRPr="00B136B0">
        <w:rPr>
          <w:rFonts w:ascii="Garamond" w:hAnsi="Garamond"/>
          <w:i/>
          <w:iCs/>
          <w:color w:val="000000"/>
          <w:sz w:val="28"/>
          <w:szCs w:val="28"/>
        </w:rPr>
        <w:t>Revista</w:t>
      </w:r>
      <w:proofErr w:type="spellEnd"/>
      <w:r w:rsidRPr="00B136B0">
        <w:rPr>
          <w:rFonts w:ascii="Garamond" w:hAnsi="Garamond"/>
          <w:i/>
          <w:iCs/>
          <w:color w:val="000000"/>
          <w:sz w:val="28"/>
          <w:szCs w:val="28"/>
        </w:rPr>
        <w:t xml:space="preserve"> Catalana di Teologia</w:t>
      </w:r>
      <w:r w:rsidRPr="00B136B0">
        <w:rPr>
          <w:rFonts w:ascii="Garamond" w:hAnsi="Garamond"/>
          <w:iCs/>
          <w:color w:val="000000"/>
          <w:sz w:val="28"/>
          <w:szCs w:val="28"/>
        </w:rPr>
        <w:t xml:space="preserve"> 43/2 (2018) 319-402.</w:t>
      </w:r>
    </w:p>
    <w:p w:rsidR="0021661E" w:rsidRPr="0021661E" w:rsidRDefault="0021661E" w:rsidP="00085134">
      <w:pPr>
        <w:shd w:val="clear" w:color="auto" w:fill="FFFFFF"/>
        <w:ind w:firstLine="426"/>
        <w:jc w:val="both"/>
        <w:textAlignment w:val="baseline"/>
        <w:rPr>
          <w:rFonts w:ascii="Garamond" w:hAnsi="Garamond"/>
          <w:sz w:val="10"/>
          <w:szCs w:val="10"/>
        </w:rPr>
      </w:pPr>
    </w:p>
    <w:p w:rsidR="00085134" w:rsidRPr="00B56CD2" w:rsidRDefault="00085134" w:rsidP="00085134">
      <w:pPr>
        <w:shd w:val="clear" w:color="auto" w:fill="FFFFFF"/>
        <w:ind w:firstLine="426"/>
        <w:jc w:val="both"/>
        <w:textAlignment w:val="baseline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>«</w:t>
      </w:r>
      <w:r>
        <w:rPr>
          <w:rFonts w:ascii="Garamond" w:hAnsi="Garamond"/>
          <w:sz w:val="28"/>
          <w:szCs w:val="28"/>
        </w:rPr>
        <w:t>La recezione del Concilio Vaticano II nella chiesa di Roma dopo il secondo Sinodo diocesano (1993-2017)</w:t>
      </w:r>
      <w:r w:rsidRPr="0024024F">
        <w:rPr>
          <w:rFonts w:ascii="Garamond" w:hAnsi="Garamond"/>
          <w:sz w:val="28"/>
          <w:szCs w:val="28"/>
        </w:rPr>
        <w:t xml:space="preserve">», in </w:t>
      </w:r>
      <w:r>
        <w:rPr>
          <w:rFonts w:ascii="Garamond" w:hAnsi="Garamond"/>
          <w:i/>
          <w:sz w:val="28"/>
          <w:szCs w:val="28"/>
        </w:rPr>
        <w:t xml:space="preserve">Chiese del Lazio e Vaticano II. Preparazione, contributi, recezione, </w:t>
      </w:r>
      <w:r>
        <w:rPr>
          <w:rFonts w:ascii="Garamond" w:hAnsi="Garamond"/>
          <w:sz w:val="28"/>
          <w:szCs w:val="28"/>
        </w:rPr>
        <w:t xml:space="preserve">a cura di Pasquale Bua, Edizioni </w:t>
      </w:r>
      <w:proofErr w:type="spellStart"/>
      <w:r>
        <w:rPr>
          <w:rFonts w:ascii="Garamond" w:hAnsi="Garamond"/>
          <w:sz w:val="28"/>
          <w:szCs w:val="28"/>
        </w:rPr>
        <w:t>Studium</w:t>
      </w:r>
      <w:proofErr w:type="spellEnd"/>
      <w:r>
        <w:rPr>
          <w:rFonts w:ascii="Garamond" w:hAnsi="Garamond"/>
          <w:sz w:val="28"/>
          <w:szCs w:val="28"/>
        </w:rPr>
        <w:t>, Roma 2019. (in uscita).</w:t>
      </w:r>
    </w:p>
    <w:p w:rsidR="00085134" w:rsidRDefault="00085134" w:rsidP="00085134">
      <w:pPr>
        <w:ind w:firstLine="426"/>
        <w:jc w:val="both"/>
        <w:rPr>
          <w:rFonts w:ascii="Garamond" w:hAnsi="Garamond"/>
          <w:b/>
          <w:iCs/>
          <w:color w:val="000000"/>
          <w:sz w:val="28"/>
          <w:szCs w:val="28"/>
        </w:rPr>
      </w:pP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>
        <w:rPr>
          <w:rFonts w:ascii="Garamond" w:hAnsi="Garamond"/>
          <w:b/>
          <w:iCs/>
          <w:color w:val="000000"/>
          <w:sz w:val="28"/>
          <w:szCs w:val="28"/>
        </w:rPr>
        <w:t xml:space="preserve">     </w:t>
      </w:r>
      <w:r w:rsidRPr="0024024F">
        <w:rPr>
          <w:rFonts w:ascii="Garamond" w:hAnsi="Garamond"/>
          <w:b/>
          <w:iCs/>
          <w:color w:val="000000"/>
          <w:sz w:val="28"/>
          <w:szCs w:val="28"/>
        </w:rPr>
        <w:t>Articoli</w:t>
      </w:r>
      <w:r w:rsidRPr="0024024F">
        <w:rPr>
          <w:rFonts w:ascii="Garamond" w:hAnsi="Garamond"/>
          <w:iCs/>
          <w:color w:val="000000"/>
          <w:sz w:val="28"/>
          <w:szCs w:val="28"/>
        </w:rPr>
        <w:t>: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«La Magna carta dell’Annuncio», Dossier a 20 anni dalla </w:t>
      </w:r>
      <w:proofErr w:type="spellStart"/>
      <w:r w:rsidRPr="0024024F">
        <w:rPr>
          <w:rFonts w:ascii="Garamond" w:hAnsi="Garamond"/>
          <w:i/>
          <w:iCs/>
          <w:color w:val="000000"/>
          <w:sz w:val="28"/>
          <w:szCs w:val="28"/>
        </w:rPr>
        <w:t>Redemptoris</w:t>
      </w:r>
      <w:proofErr w:type="spellEnd"/>
      <w:r w:rsidRPr="0024024F">
        <w:rPr>
          <w:rFonts w:ascii="Garamond" w:hAnsi="Garamond"/>
          <w:i/>
          <w:iCs/>
          <w:color w:val="000000"/>
          <w:sz w:val="28"/>
          <w:szCs w:val="28"/>
        </w:rPr>
        <w:t xml:space="preserve"> </w:t>
      </w:r>
      <w:proofErr w:type="spellStart"/>
      <w:r w:rsidRPr="0024024F">
        <w:rPr>
          <w:rFonts w:ascii="Garamond" w:hAnsi="Garamond"/>
          <w:i/>
          <w:iCs/>
          <w:color w:val="000000"/>
          <w:sz w:val="28"/>
          <w:szCs w:val="28"/>
        </w:rPr>
        <w:t>Missio</w:t>
      </w:r>
      <w:proofErr w:type="spellEnd"/>
      <w:r w:rsidRPr="0024024F">
        <w:rPr>
          <w:rFonts w:ascii="Garamond" w:hAnsi="Garamond"/>
          <w:iCs/>
          <w:color w:val="000000"/>
          <w:sz w:val="28"/>
          <w:szCs w:val="28"/>
        </w:rPr>
        <w:t xml:space="preserve">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Vita Pastorale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 n. 8 (agosto - settembre) 2010, 67-69.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«Nuove tecniche?», Dossier Sinodo sull’Evangelizzazione,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Vita Pastorale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 n. 11 (dicembre) 2013, 82-84.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«Ci scrivono - La festa di Halloween»,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 9 (ottobre) 2014, 11-12.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«Crescere nella </w:t>
      </w:r>
      <w:proofErr w:type="spellStart"/>
      <w:r w:rsidRPr="0024024F">
        <w:rPr>
          <w:rFonts w:ascii="Garamond" w:hAnsi="Garamond"/>
          <w:iCs/>
          <w:color w:val="000000"/>
          <w:sz w:val="28"/>
          <w:szCs w:val="28"/>
        </w:rPr>
        <w:t>sinodalità</w:t>
      </w:r>
      <w:proofErr w:type="spellEnd"/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Speciale Sinodo sulla famiglia,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Vita Pastorale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 n. 10 (novembre) 2014, 24-26.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color w:val="000000"/>
          <w:sz w:val="28"/>
          <w:szCs w:val="28"/>
        </w:rPr>
      </w:pPr>
      <w:r w:rsidRPr="0024024F">
        <w:rPr>
          <w:rFonts w:ascii="Garamond" w:hAnsi="Garamond"/>
          <w:color w:val="000000"/>
          <w:sz w:val="28"/>
          <w:szCs w:val="28"/>
        </w:rPr>
        <w:t>«Quale continuità tra “</w:t>
      </w:r>
      <w:proofErr w:type="spellStart"/>
      <w:r w:rsidRPr="0024024F">
        <w:rPr>
          <w:rFonts w:ascii="Garamond" w:hAnsi="Garamond"/>
          <w:color w:val="000000"/>
          <w:sz w:val="28"/>
          <w:szCs w:val="28"/>
        </w:rPr>
        <w:t>Evangelii</w:t>
      </w:r>
      <w:proofErr w:type="spellEnd"/>
      <w:r w:rsidRPr="0024024F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24024F">
        <w:rPr>
          <w:rFonts w:ascii="Garamond" w:hAnsi="Garamond"/>
          <w:color w:val="000000"/>
          <w:sz w:val="28"/>
          <w:szCs w:val="28"/>
        </w:rPr>
        <w:t>nuntiandi</w:t>
      </w:r>
      <w:proofErr w:type="spellEnd"/>
      <w:r w:rsidRPr="0024024F">
        <w:rPr>
          <w:rFonts w:ascii="Garamond" w:hAnsi="Garamond"/>
          <w:color w:val="000000"/>
          <w:sz w:val="28"/>
          <w:szCs w:val="28"/>
        </w:rPr>
        <w:t>” ed “</w:t>
      </w:r>
      <w:proofErr w:type="spellStart"/>
      <w:r w:rsidRPr="0024024F">
        <w:rPr>
          <w:rFonts w:ascii="Garamond" w:hAnsi="Garamond"/>
          <w:color w:val="000000"/>
          <w:sz w:val="28"/>
          <w:szCs w:val="28"/>
        </w:rPr>
        <w:t>Evangelii</w:t>
      </w:r>
      <w:proofErr w:type="spellEnd"/>
      <w:r w:rsidRPr="0024024F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24024F">
        <w:rPr>
          <w:rFonts w:ascii="Garamond" w:hAnsi="Garamond"/>
          <w:color w:val="000000"/>
          <w:sz w:val="28"/>
          <w:szCs w:val="28"/>
        </w:rPr>
        <w:t>gaudium</w:t>
      </w:r>
      <w:proofErr w:type="spellEnd"/>
      <w:r w:rsidRPr="0024024F">
        <w:rPr>
          <w:rFonts w:ascii="Garamond" w:hAnsi="Garamond"/>
          <w:color w:val="000000"/>
          <w:sz w:val="28"/>
          <w:szCs w:val="28"/>
        </w:rPr>
        <w:t xml:space="preserve">”?», Dossier Per una Chiesa in uscita, in </w:t>
      </w:r>
      <w:r w:rsidRPr="0024024F">
        <w:rPr>
          <w:rFonts w:ascii="Garamond" w:hAnsi="Garamond"/>
          <w:i/>
          <w:color w:val="000000"/>
          <w:sz w:val="28"/>
          <w:szCs w:val="28"/>
        </w:rPr>
        <w:t xml:space="preserve">Vita pastorale </w:t>
      </w:r>
      <w:r w:rsidRPr="0024024F">
        <w:rPr>
          <w:rFonts w:ascii="Garamond" w:hAnsi="Garamond"/>
          <w:color w:val="000000"/>
          <w:sz w:val="28"/>
          <w:szCs w:val="28"/>
        </w:rPr>
        <w:t>n. 7 (luglio) 2015, 44-45.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color w:val="000000"/>
          <w:sz w:val="28"/>
          <w:szCs w:val="28"/>
        </w:rPr>
        <w:t>«</w:t>
      </w:r>
      <w:r w:rsidRPr="0024024F">
        <w:rPr>
          <w:rFonts w:ascii="Garamond" w:hAnsi="Garamond"/>
          <w:sz w:val="28"/>
          <w:szCs w:val="28"/>
        </w:rPr>
        <w:t xml:space="preserve">News dal Giubileo: inizia il tempo del grande perdono»,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1 (gennaio) 2016 24.</w:t>
      </w:r>
    </w:p>
    <w:p w:rsidR="00085134" w:rsidRPr="0024024F" w:rsidRDefault="0008513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«News dal Giubileo», in </w:t>
      </w:r>
      <w:r w:rsidRPr="0024024F">
        <w:rPr>
          <w:rFonts w:ascii="Garamond" w:hAnsi="Garamond"/>
          <w:i/>
          <w:sz w:val="28"/>
          <w:szCs w:val="28"/>
        </w:rPr>
        <w:t xml:space="preserve">Vita Pastorale </w:t>
      </w:r>
      <w:r w:rsidRPr="0024024F">
        <w:rPr>
          <w:rFonts w:ascii="Garamond" w:hAnsi="Garamond"/>
          <w:sz w:val="28"/>
          <w:szCs w:val="28"/>
        </w:rPr>
        <w:t>n. 2 (febbraio) 2016, 18.</w:t>
      </w:r>
    </w:p>
    <w:p w:rsidR="00085134" w:rsidRPr="0024024F" w:rsidRDefault="0008513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«News dal Giubileo»,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3 (marzo) 2016, 19</w:t>
      </w:r>
    </w:p>
    <w:p w:rsidR="00085134" w:rsidRPr="0024024F" w:rsidRDefault="0008513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«I missionari della misericordia. Sulle spalle il peccatore»,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3 (marzo) 2016, 20-21. </w:t>
      </w:r>
    </w:p>
    <w:p w:rsidR="00F15494" w:rsidRDefault="00F1549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</w:p>
    <w:p w:rsidR="00F15494" w:rsidRDefault="00F1549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</w:p>
    <w:p w:rsidR="00F15494" w:rsidRDefault="00F1549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</w:p>
    <w:p w:rsidR="00085134" w:rsidRPr="0024024F" w:rsidRDefault="0008513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«News dal Giubileo»,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4 (aprile) 2016, 13. </w:t>
      </w:r>
    </w:p>
    <w:p w:rsidR="00085134" w:rsidRPr="0024024F" w:rsidRDefault="00085134" w:rsidP="00085134">
      <w:pPr>
        <w:pStyle w:val="Testonormale"/>
        <w:ind w:firstLine="426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«Dossier Misericordia e riconciliazione. Un tempo di riconciliazione»,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4 (aprile) 2016, 34-36.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«News dal Giubileo»,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5 (maggio) 2016, 2.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«News dal Giubileo»,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9</w:t>
      </w:r>
      <w:r w:rsidRPr="0024024F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settembre</w:t>
      </w:r>
      <w:r w:rsidRPr="0024024F">
        <w:rPr>
          <w:rFonts w:ascii="Garamond" w:hAnsi="Garamond"/>
          <w:sz w:val="28"/>
          <w:szCs w:val="28"/>
        </w:rPr>
        <w:t>) 2016,</w:t>
      </w:r>
      <w:r>
        <w:rPr>
          <w:rFonts w:ascii="Garamond" w:hAnsi="Garamond"/>
          <w:sz w:val="28"/>
          <w:szCs w:val="28"/>
        </w:rPr>
        <w:t xml:space="preserve"> 17.</w:t>
      </w:r>
    </w:p>
    <w:p w:rsidR="00085134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«News dal Giubileo»,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10</w:t>
      </w:r>
      <w:r w:rsidRPr="0024024F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settembre</w:t>
      </w:r>
      <w:r w:rsidRPr="0024024F">
        <w:rPr>
          <w:rFonts w:ascii="Garamond" w:hAnsi="Garamond"/>
          <w:sz w:val="28"/>
          <w:szCs w:val="28"/>
        </w:rPr>
        <w:t>) 2016,</w:t>
      </w:r>
      <w:r>
        <w:rPr>
          <w:rFonts w:ascii="Garamond" w:hAnsi="Garamond"/>
          <w:sz w:val="28"/>
          <w:szCs w:val="28"/>
        </w:rPr>
        <w:t xml:space="preserve"> 28.</w:t>
      </w:r>
    </w:p>
    <w:p w:rsidR="00085134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 xml:space="preserve">«News dal Giubileo»,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11</w:t>
      </w:r>
      <w:r w:rsidRPr="0024024F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novembre</w:t>
      </w:r>
      <w:r w:rsidRPr="0024024F">
        <w:rPr>
          <w:rFonts w:ascii="Garamond" w:hAnsi="Garamond"/>
          <w:sz w:val="28"/>
          <w:szCs w:val="28"/>
        </w:rPr>
        <w:t>) 2016,</w:t>
      </w:r>
      <w:r>
        <w:rPr>
          <w:rFonts w:ascii="Garamond" w:hAnsi="Garamond"/>
          <w:sz w:val="28"/>
          <w:szCs w:val="28"/>
        </w:rPr>
        <w:t xml:space="preserve"> 58.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>«</w:t>
      </w:r>
      <w:r>
        <w:rPr>
          <w:rFonts w:ascii="Garamond" w:hAnsi="Garamond"/>
          <w:sz w:val="28"/>
          <w:szCs w:val="28"/>
        </w:rPr>
        <w:t>L’incontro del vescovo con i parroci di Roma</w:t>
      </w:r>
      <w:r w:rsidRPr="0024024F">
        <w:rPr>
          <w:rFonts w:ascii="Garamond" w:hAnsi="Garamond"/>
          <w:sz w:val="28"/>
          <w:szCs w:val="28"/>
        </w:rPr>
        <w:t xml:space="preserve">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4</w:t>
      </w:r>
      <w:r w:rsidRPr="0024024F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aprile</w:t>
      </w:r>
      <w:r w:rsidRPr="0024024F">
        <w:rPr>
          <w:rFonts w:ascii="Garamond" w:hAnsi="Garamond"/>
          <w:sz w:val="28"/>
          <w:szCs w:val="28"/>
        </w:rPr>
        <w:t>) 201</w:t>
      </w:r>
      <w:r>
        <w:rPr>
          <w:rFonts w:ascii="Garamond" w:hAnsi="Garamond"/>
          <w:sz w:val="28"/>
          <w:szCs w:val="28"/>
        </w:rPr>
        <w:t>7</w:t>
      </w:r>
      <w:r w:rsidRPr="0024024F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15.</w:t>
      </w:r>
    </w:p>
    <w:p w:rsidR="00085134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>«</w:t>
      </w:r>
      <w:r>
        <w:rPr>
          <w:rFonts w:ascii="Garamond" w:hAnsi="Garamond"/>
          <w:sz w:val="28"/>
          <w:szCs w:val="28"/>
        </w:rPr>
        <w:t>Maria nella Chiesa e la Chiesa in Maria</w:t>
      </w:r>
      <w:r w:rsidRPr="0024024F">
        <w:rPr>
          <w:rFonts w:ascii="Garamond" w:hAnsi="Garamond"/>
          <w:sz w:val="28"/>
          <w:szCs w:val="28"/>
        </w:rPr>
        <w:t xml:space="preserve">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4</w:t>
      </w:r>
      <w:r w:rsidRPr="0024024F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aprile</w:t>
      </w:r>
      <w:r w:rsidRPr="0024024F">
        <w:rPr>
          <w:rFonts w:ascii="Garamond" w:hAnsi="Garamond"/>
          <w:sz w:val="28"/>
          <w:szCs w:val="28"/>
        </w:rPr>
        <w:t>) 201</w:t>
      </w:r>
      <w:r>
        <w:rPr>
          <w:rFonts w:ascii="Garamond" w:hAnsi="Garamond"/>
          <w:sz w:val="28"/>
          <w:szCs w:val="28"/>
        </w:rPr>
        <w:t>7</w:t>
      </w:r>
      <w:r w:rsidRPr="0024024F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45-47.</w:t>
      </w:r>
    </w:p>
    <w:p w:rsidR="00085134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>«</w:t>
      </w:r>
      <w:r>
        <w:rPr>
          <w:rFonts w:ascii="Garamond" w:hAnsi="Garamond"/>
          <w:sz w:val="28"/>
          <w:szCs w:val="28"/>
        </w:rPr>
        <w:t>Verso l’incontro mondiale delle famiglie</w:t>
      </w:r>
      <w:r w:rsidRPr="0024024F">
        <w:rPr>
          <w:rFonts w:ascii="Garamond" w:hAnsi="Garamond"/>
          <w:sz w:val="28"/>
          <w:szCs w:val="28"/>
        </w:rPr>
        <w:t xml:space="preserve">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5</w:t>
      </w:r>
      <w:r w:rsidRPr="0024024F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maggio</w:t>
      </w:r>
      <w:r w:rsidRPr="0024024F">
        <w:rPr>
          <w:rFonts w:ascii="Garamond" w:hAnsi="Garamond"/>
          <w:sz w:val="28"/>
          <w:szCs w:val="28"/>
        </w:rPr>
        <w:t>) 201</w:t>
      </w:r>
      <w:r>
        <w:rPr>
          <w:rFonts w:ascii="Garamond" w:hAnsi="Garamond"/>
          <w:sz w:val="28"/>
          <w:szCs w:val="28"/>
        </w:rPr>
        <w:t>7</w:t>
      </w:r>
      <w:r w:rsidRPr="0024024F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29.</w:t>
      </w:r>
    </w:p>
    <w:p w:rsidR="00085134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>«</w:t>
      </w:r>
      <w:r>
        <w:rPr>
          <w:rFonts w:ascii="Garamond" w:hAnsi="Garamond"/>
          <w:sz w:val="28"/>
          <w:szCs w:val="28"/>
        </w:rPr>
        <w:t>Gioiosi di servire Cristo</w:t>
      </w:r>
      <w:r w:rsidRPr="0024024F">
        <w:rPr>
          <w:rFonts w:ascii="Garamond" w:hAnsi="Garamond"/>
          <w:sz w:val="28"/>
          <w:szCs w:val="28"/>
        </w:rPr>
        <w:t xml:space="preserve">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6</w:t>
      </w:r>
      <w:r w:rsidRPr="0024024F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giugno</w:t>
      </w:r>
      <w:r w:rsidRPr="0024024F">
        <w:rPr>
          <w:rFonts w:ascii="Garamond" w:hAnsi="Garamond"/>
          <w:sz w:val="28"/>
          <w:szCs w:val="28"/>
        </w:rPr>
        <w:t>) 201</w:t>
      </w:r>
      <w:r>
        <w:rPr>
          <w:rFonts w:ascii="Garamond" w:hAnsi="Garamond"/>
          <w:sz w:val="28"/>
          <w:szCs w:val="28"/>
        </w:rPr>
        <w:t>7</w:t>
      </w:r>
      <w:r w:rsidRPr="0024024F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58.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t>«</w:t>
      </w:r>
      <w:r>
        <w:rPr>
          <w:rFonts w:ascii="Garamond" w:hAnsi="Garamond"/>
          <w:sz w:val="28"/>
          <w:szCs w:val="28"/>
        </w:rPr>
        <w:t>La sfida dell’interculturalità in Amazzonia</w:t>
      </w:r>
      <w:r w:rsidRPr="0024024F">
        <w:rPr>
          <w:rFonts w:ascii="Garamond" w:hAnsi="Garamond"/>
          <w:sz w:val="28"/>
          <w:szCs w:val="28"/>
        </w:rPr>
        <w:t xml:space="preserve">», in </w:t>
      </w:r>
      <w:r w:rsidRPr="0024024F">
        <w:rPr>
          <w:rFonts w:ascii="Garamond" w:hAnsi="Garamond"/>
          <w:i/>
          <w:sz w:val="28"/>
          <w:szCs w:val="28"/>
        </w:rPr>
        <w:t>Vita Pastorale</w:t>
      </w:r>
      <w:r w:rsidRPr="0024024F">
        <w:rPr>
          <w:rFonts w:ascii="Garamond" w:hAnsi="Garamond"/>
          <w:sz w:val="28"/>
          <w:szCs w:val="28"/>
        </w:rPr>
        <w:t xml:space="preserve"> n. </w:t>
      </w:r>
      <w:r>
        <w:rPr>
          <w:rFonts w:ascii="Garamond" w:hAnsi="Garamond"/>
          <w:sz w:val="28"/>
          <w:szCs w:val="28"/>
        </w:rPr>
        <w:t>3</w:t>
      </w:r>
      <w:r w:rsidRPr="0024024F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marzo</w:t>
      </w:r>
      <w:r w:rsidRPr="0024024F">
        <w:rPr>
          <w:rFonts w:ascii="Garamond" w:hAnsi="Garamond"/>
          <w:sz w:val="28"/>
          <w:szCs w:val="28"/>
        </w:rPr>
        <w:t>) 201</w:t>
      </w:r>
      <w:r>
        <w:rPr>
          <w:rFonts w:ascii="Garamond" w:hAnsi="Garamond"/>
          <w:sz w:val="28"/>
          <w:szCs w:val="28"/>
        </w:rPr>
        <w:t>9.</w:t>
      </w:r>
    </w:p>
    <w:p w:rsidR="00085134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</w:p>
    <w:p w:rsidR="00085134" w:rsidRPr="0024024F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</w:p>
    <w:p w:rsidR="00085134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</w:p>
    <w:p w:rsidR="00085134" w:rsidRDefault="00085134" w:rsidP="00085134">
      <w:pPr>
        <w:ind w:firstLine="426"/>
        <w:jc w:val="both"/>
        <w:rPr>
          <w:rFonts w:ascii="Garamond" w:hAnsi="Garamond"/>
          <w:iCs/>
          <w:color w:val="000000"/>
          <w:sz w:val="28"/>
          <w:szCs w:val="28"/>
        </w:rPr>
      </w:pPr>
    </w:p>
    <w:p w:rsidR="00085134" w:rsidRPr="0024024F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 </w:t>
      </w:r>
    </w:p>
    <w:p w:rsidR="00085134" w:rsidRPr="0024024F" w:rsidRDefault="00085134" w:rsidP="00085134">
      <w:pPr>
        <w:ind w:firstLine="426"/>
        <w:jc w:val="both"/>
        <w:rPr>
          <w:rFonts w:ascii="Garamond" w:hAnsi="Garamond"/>
          <w:sz w:val="28"/>
          <w:szCs w:val="28"/>
        </w:rPr>
      </w:pPr>
    </w:p>
    <w:p w:rsidR="00085134" w:rsidRPr="0024024F" w:rsidRDefault="00085134" w:rsidP="00085134">
      <w:pPr>
        <w:spacing w:line="288" w:lineRule="atLeast"/>
        <w:rPr>
          <w:rFonts w:ascii="Garamond" w:hAnsi="Garamond" w:cs="Arial"/>
          <w:sz w:val="28"/>
          <w:szCs w:val="28"/>
        </w:rPr>
      </w:pPr>
    </w:p>
    <w:p w:rsidR="00085134" w:rsidRDefault="00085134" w:rsidP="00085134">
      <w:pPr>
        <w:spacing w:line="288" w:lineRule="atLeast"/>
        <w:rPr>
          <w:rFonts w:ascii="Garamond" w:hAnsi="Garamond" w:cs="Arial"/>
          <w:sz w:val="28"/>
          <w:szCs w:val="28"/>
        </w:rPr>
      </w:pPr>
    </w:p>
    <w:p w:rsidR="00085134" w:rsidRDefault="00085134" w:rsidP="00085134">
      <w:pPr>
        <w:spacing w:line="288" w:lineRule="atLeast"/>
        <w:rPr>
          <w:rFonts w:ascii="Garamond" w:hAnsi="Garamond" w:cs="Arial"/>
          <w:sz w:val="28"/>
          <w:szCs w:val="28"/>
        </w:rPr>
      </w:pPr>
    </w:p>
    <w:p w:rsidR="00085134" w:rsidRDefault="00085134" w:rsidP="00085134">
      <w:pPr>
        <w:spacing w:line="288" w:lineRule="atLeast"/>
        <w:rPr>
          <w:rFonts w:ascii="Garamond" w:hAnsi="Garamond" w:cs="Arial"/>
          <w:sz w:val="28"/>
          <w:szCs w:val="28"/>
        </w:rPr>
      </w:pPr>
    </w:p>
    <w:p w:rsidR="00085134" w:rsidRDefault="00085134" w:rsidP="00085134">
      <w:pPr>
        <w:spacing w:line="288" w:lineRule="atLeast"/>
        <w:rPr>
          <w:rFonts w:ascii="Garamond" w:hAnsi="Garamond" w:cs="Arial"/>
          <w:sz w:val="28"/>
          <w:szCs w:val="28"/>
        </w:rPr>
      </w:pPr>
    </w:p>
    <w:p w:rsidR="00085134" w:rsidRDefault="00085134" w:rsidP="00085134">
      <w:pPr>
        <w:spacing w:line="288" w:lineRule="atLeast"/>
        <w:rPr>
          <w:rFonts w:ascii="Garamond" w:hAnsi="Garamond" w:cs="Arial"/>
          <w:sz w:val="28"/>
          <w:szCs w:val="28"/>
        </w:rPr>
      </w:pPr>
    </w:p>
    <w:p w:rsidR="00085134" w:rsidRDefault="00085134" w:rsidP="00085134">
      <w:pPr>
        <w:spacing w:line="288" w:lineRule="atLeast"/>
        <w:rPr>
          <w:rFonts w:ascii="Garamond" w:hAnsi="Garamond" w:cs="Arial"/>
          <w:sz w:val="28"/>
          <w:szCs w:val="28"/>
        </w:rPr>
      </w:pPr>
    </w:p>
    <w:p w:rsidR="00085134" w:rsidRPr="004679BC" w:rsidRDefault="00085134" w:rsidP="00085134">
      <w:pPr>
        <w:spacing w:line="288" w:lineRule="atLeast"/>
        <w:rPr>
          <w:rFonts w:ascii="Garamond" w:hAnsi="Garamond"/>
          <w:b/>
          <w:smallCaps/>
          <w:sz w:val="28"/>
          <w:szCs w:val="28"/>
        </w:rPr>
      </w:pPr>
    </w:p>
    <w:p w:rsidR="00085134" w:rsidRPr="0024024F" w:rsidRDefault="00085134" w:rsidP="00085134">
      <w:pPr>
        <w:spacing w:line="288" w:lineRule="atLeast"/>
        <w:rPr>
          <w:rFonts w:ascii="Garamond" w:hAnsi="Garamond"/>
          <w:b/>
          <w:smallCaps/>
          <w:sz w:val="28"/>
          <w:szCs w:val="28"/>
        </w:rPr>
      </w:pPr>
    </w:p>
    <w:p w:rsidR="00085134" w:rsidRPr="0024024F" w:rsidRDefault="00085134" w:rsidP="00085134">
      <w:pPr>
        <w:spacing w:line="288" w:lineRule="atLeast"/>
        <w:rPr>
          <w:rFonts w:ascii="Garamond" w:hAnsi="Garamond"/>
          <w:b/>
          <w:smallCaps/>
          <w:sz w:val="28"/>
          <w:szCs w:val="28"/>
        </w:rPr>
      </w:pPr>
    </w:p>
    <w:p w:rsidR="00085134" w:rsidRPr="0024024F" w:rsidRDefault="00085134" w:rsidP="00085134">
      <w:pPr>
        <w:rPr>
          <w:rFonts w:ascii="Garamond" w:hAnsi="Garamond"/>
          <w:sz w:val="28"/>
          <w:szCs w:val="28"/>
        </w:rPr>
      </w:pPr>
    </w:p>
    <w:p w:rsidR="0039747F" w:rsidRDefault="0039747F"/>
    <w:sectPr w:rsidR="0039747F" w:rsidSect="002A3C8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34"/>
    <w:rsid w:val="00085134"/>
    <w:rsid w:val="0021661E"/>
    <w:rsid w:val="0039747F"/>
    <w:rsid w:val="00F1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6E7A"/>
  <w15:chartTrackingRefBased/>
  <w15:docId w15:val="{E8A9578F-3F92-4236-A929-A10035B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85134"/>
    <w:rPr>
      <w:rFonts w:ascii="Calibri" w:eastAsiaTheme="minorHAnsi" w:hAnsi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513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C_SOCIALI</dc:creator>
  <cp:keywords/>
  <dc:description/>
  <cp:lastModifiedBy>C_SOCIALI</cp:lastModifiedBy>
  <cp:revision>3</cp:revision>
  <dcterms:created xsi:type="dcterms:W3CDTF">2020-03-01T08:41:00Z</dcterms:created>
  <dcterms:modified xsi:type="dcterms:W3CDTF">2020-03-01T09:23:00Z</dcterms:modified>
</cp:coreProperties>
</file>